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B64" w:rsidRPr="00EA5B64" w:rsidRDefault="00EA5B64" w:rsidP="00EA5B64">
      <w:pPr>
        <w:keepNext/>
        <w:keepLines/>
        <w:tabs>
          <w:tab w:val="left" w:pos="1876"/>
        </w:tabs>
        <w:spacing w:before="240" w:after="0"/>
        <w:jc w:val="center"/>
        <w:outlineLvl w:val="0"/>
        <w:rPr>
          <w:rFonts w:ascii="Times New Roman" w:eastAsia="DengXian Light" w:hAnsi="Times New Roman" w:cs="Times New Roman"/>
          <w:b/>
          <w:color w:val="000000"/>
          <w:kern w:val="2"/>
          <w:sz w:val="24"/>
          <w:szCs w:val="24"/>
          <w14:ligatures w14:val="standardContextual"/>
        </w:rPr>
      </w:pPr>
      <w:bookmarkStart w:id="0" w:name="_Toc208346543"/>
      <w:r w:rsidRPr="00EA5B64">
        <w:rPr>
          <w:rFonts w:ascii="Times New Roman" w:eastAsia="DengXian Light" w:hAnsi="Times New Roman" w:cs="Times New Roman"/>
          <w:b/>
          <w:color w:val="000000"/>
          <w:kern w:val="2"/>
          <w:sz w:val="24"/>
          <w:szCs w:val="24"/>
          <w14:ligatures w14:val="standardContextual"/>
        </w:rPr>
        <w:t>BAB V</w:t>
      </w:r>
      <w:bookmarkEnd w:id="0"/>
    </w:p>
    <w:p w:rsidR="00EA5B64" w:rsidRPr="00EA5B64" w:rsidRDefault="00EA5B64" w:rsidP="00EA5B64">
      <w:pPr>
        <w:keepNext/>
        <w:keepLines/>
        <w:tabs>
          <w:tab w:val="left" w:pos="1876"/>
        </w:tabs>
        <w:spacing w:before="240" w:after="0"/>
        <w:jc w:val="center"/>
        <w:outlineLvl w:val="0"/>
        <w:rPr>
          <w:rFonts w:ascii="Times New Roman" w:eastAsia="DengXian Light" w:hAnsi="Times New Roman" w:cs="Times New Roman"/>
          <w:b/>
          <w:color w:val="000000"/>
          <w:kern w:val="2"/>
          <w:sz w:val="24"/>
          <w:szCs w:val="24"/>
          <w14:ligatures w14:val="standardContextual"/>
        </w:rPr>
      </w:pPr>
      <w:bookmarkStart w:id="1" w:name="_Toc208346544"/>
      <w:r w:rsidRPr="00EA5B64">
        <w:rPr>
          <w:rFonts w:ascii="Times New Roman" w:eastAsia="DengXian Light" w:hAnsi="Times New Roman" w:cs="Times New Roman"/>
          <w:b/>
          <w:color w:val="000000"/>
          <w:kern w:val="2"/>
          <w:sz w:val="24"/>
          <w:szCs w:val="24"/>
          <w14:ligatures w14:val="standardContextual"/>
        </w:rPr>
        <w:t>PENUTUP</w:t>
      </w:r>
      <w:bookmarkEnd w:id="1"/>
    </w:p>
    <w:p w:rsidR="00EA5B64" w:rsidRPr="00EA5B64" w:rsidRDefault="00EA5B64" w:rsidP="00EA5B64">
      <w:pPr>
        <w:keepNext/>
        <w:keepLines/>
        <w:numPr>
          <w:ilvl w:val="8"/>
          <w:numId w:val="1"/>
        </w:numPr>
        <w:tabs>
          <w:tab w:val="left" w:pos="1876"/>
        </w:tabs>
        <w:spacing w:before="40" w:after="0"/>
        <w:ind w:left="426"/>
        <w:outlineLvl w:val="1"/>
        <w:rPr>
          <w:rFonts w:ascii="Times New Roman" w:eastAsia="DengXian Light" w:hAnsi="Times New Roman" w:cs="Times New Roman"/>
          <w:b/>
          <w:color w:val="000000"/>
          <w:kern w:val="2"/>
          <w:sz w:val="24"/>
          <w:szCs w:val="24"/>
          <w14:ligatures w14:val="standardContextual"/>
        </w:rPr>
      </w:pPr>
      <w:bookmarkStart w:id="2" w:name="_Toc208346545"/>
      <w:r w:rsidRPr="00EA5B64">
        <w:rPr>
          <w:rFonts w:ascii="Times New Roman" w:eastAsia="DengXian Light" w:hAnsi="Times New Roman" w:cs="Times New Roman"/>
          <w:b/>
          <w:color w:val="000000"/>
          <w:kern w:val="2"/>
          <w:sz w:val="24"/>
          <w:szCs w:val="24"/>
          <w14:ligatures w14:val="standardContextual"/>
        </w:rPr>
        <w:t>SIMPULAN</w:t>
      </w:r>
      <w:bookmarkEnd w:id="2"/>
    </w:p>
    <w:p w:rsidR="00EA5B64" w:rsidRPr="00EA5B64" w:rsidRDefault="00EA5B64" w:rsidP="00EA5B64">
      <w:pPr>
        <w:keepNext/>
        <w:keepLines/>
        <w:tabs>
          <w:tab w:val="left" w:pos="1876"/>
        </w:tabs>
        <w:spacing w:before="240" w:after="0" w:line="360" w:lineRule="auto"/>
        <w:ind w:left="426" w:firstLine="425"/>
        <w:jc w:val="both"/>
        <w:outlineLvl w:val="0"/>
        <w:rPr>
          <w:rFonts w:ascii="Times New Roman" w:eastAsia="DengXian Light" w:hAnsi="Times New Roman" w:cs="Times New Roman"/>
          <w:color w:val="000000"/>
          <w:kern w:val="2"/>
          <w:sz w:val="24"/>
          <w:szCs w:val="24"/>
          <w14:ligatures w14:val="standardContextual"/>
        </w:rPr>
      </w:pPr>
      <w:bookmarkStart w:id="3" w:name="_Toc204897161"/>
      <w:bookmarkStart w:id="4" w:name="_Toc208346546"/>
      <w:r w:rsidRPr="00EA5B64">
        <w:rPr>
          <w:rFonts w:ascii="Times New Roman" w:eastAsia="DengXian Light" w:hAnsi="Times New Roman" w:cs="Times New Roman"/>
          <w:color w:val="000000"/>
          <w:kern w:val="2"/>
          <w:sz w:val="24"/>
          <w:szCs w:val="24"/>
          <w14:ligatures w14:val="standardContextual"/>
        </w:rPr>
        <w:t>Dari hasil penelitian, dan pembahasan, hasil penelitian ini dapat disimpulkan sebagai berikut:</w:t>
      </w:r>
      <w:bookmarkEnd w:id="3"/>
      <w:bookmarkEnd w:id="4"/>
      <w:r w:rsidRPr="00EA5B64">
        <w:rPr>
          <w:rFonts w:ascii="Times New Roman" w:eastAsia="DengXian Light" w:hAnsi="Times New Roman" w:cs="Times New Roman"/>
          <w:color w:val="000000"/>
          <w:kern w:val="2"/>
          <w:sz w:val="24"/>
          <w:szCs w:val="24"/>
          <w14:ligatures w14:val="standardContextual"/>
        </w:rPr>
        <w:t xml:space="preserve"> </w:t>
      </w:r>
    </w:p>
    <w:p w:rsidR="00EA5B64" w:rsidRPr="00EA5B64" w:rsidRDefault="00EA5B64" w:rsidP="00EA5B64">
      <w:pPr>
        <w:numPr>
          <w:ilvl w:val="0"/>
          <w:numId w:val="2"/>
        </w:numPr>
        <w:tabs>
          <w:tab w:val="left" w:pos="1876"/>
          <w:tab w:val="left" w:pos="2085"/>
        </w:tabs>
        <w:spacing w:line="360" w:lineRule="auto"/>
        <w:contextualSpacing/>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lang w:val="id-ID"/>
          <w14:ligatures w14:val="standardContextual"/>
        </w:rPr>
        <w:t>Implementasi permainan engklek modern untuk menstimulasi perkembangan kognitif anak usia 4 tahun di TK Pertiwi 1 Temurejo mencakup pengenalan bentuk geometri dan konsep bilangan sesuai dengan STPPA (Standar Tingkat Pencapaian Perkembangan Anak). Selain itu, dilakukan penyediaan lingkungan yang aman dan nyaman serta stimulasi yang tepat untuk mendukung perkembangan kognitif anak. Implementasi ini juga bertujuan meningkatkan kemampuan guru dalam menyusun materi pembelajaran yang lebih interaktif dan menarik, meningkatkan keterampilan siswa dalam mengakses dan menggunakan teknologi, serta memperkuat kemampuan sekolah dalam memantau dan mengevaluasi kemajuan belajar siswa.</w:t>
      </w:r>
    </w:p>
    <w:p w:rsidR="00EA5B64" w:rsidRPr="00EA5B64" w:rsidRDefault="00EA5B64" w:rsidP="00EA5B64">
      <w:pPr>
        <w:numPr>
          <w:ilvl w:val="0"/>
          <w:numId w:val="2"/>
        </w:numPr>
        <w:tabs>
          <w:tab w:val="left" w:pos="1876"/>
        </w:tabs>
        <w:spacing w:line="360" w:lineRule="auto"/>
        <w:contextualSpacing/>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lang w:val="id-ID"/>
          <w14:ligatures w14:val="standardContextual"/>
        </w:rPr>
        <w:t>Kelebihan dan kekurangan permainan engklek modern dalam menstimulasi perkembangan kognitif anak usia 4 tahun di TK Pertiwi 1 Temurejo adalah sebagai berikut: Kelebihannya mencakup peningkatan kemampuan berpikir logis dan pemecahan masalah, menumbuhkan minat serta motivasi belajar anak, menyediakan pembelajaran yang lebih interaktif dan menyenangkan, serta fleksibel sesuai dengan kebutuhan dan kemampuan anak. Sementara kelemahannya meliputi kebutuhan pelatihan bagi guru agar dapat menggunakan permainan ini secara efektif, memastikan keamanan dan kemudahan penggunaan bagi anak, serta perlunya pemantauan dan evaluasi untuk menilai efektivitas permainan dalam mendukung perkembangan kognitif anak.</w:t>
      </w:r>
    </w:p>
    <w:p w:rsidR="00EA5B64" w:rsidRPr="00EA5B64" w:rsidRDefault="00EA5B64" w:rsidP="00EA5B64">
      <w:pPr>
        <w:tabs>
          <w:tab w:val="left" w:pos="1876"/>
        </w:tabs>
        <w:spacing w:line="360" w:lineRule="auto"/>
        <w:jc w:val="both"/>
        <w:rPr>
          <w:rFonts w:ascii="Times New Roman" w:eastAsia="Calibri" w:hAnsi="Times New Roman" w:cs="Times New Roman"/>
          <w:kern w:val="2"/>
          <w:sz w:val="24"/>
          <w:szCs w:val="24"/>
          <w14:ligatures w14:val="standardContextual"/>
        </w:rPr>
      </w:pPr>
    </w:p>
    <w:p w:rsidR="00EA5B64" w:rsidRPr="00EA5B64" w:rsidRDefault="00EA5B64" w:rsidP="00EA5B64">
      <w:pPr>
        <w:tabs>
          <w:tab w:val="left" w:pos="1876"/>
        </w:tabs>
        <w:spacing w:line="360" w:lineRule="auto"/>
        <w:jc w:val="both"/>
        <w:rPr>
          <w:rFonts w:ascii="Times New Roman" w:eastAsia="Calibri" w:hAnsi="Times New Roman" w:cs="Times New Roman"/>
          <w:kern w:val="2"/>
          <w:sz w:val="24"/>
          <w:szCs w:val="24"/>
          <w14:ligatures w14:val="standardContextual"/>
        </w:rPr>
      </w:pPr>
    </w:p>
    <w:p w:rsidR="00EA5B64" w:rsidRPr="00EA5B64" w:rsidRDefault="00EA5B64" w:rsidP="00EA5B64">
      <w:pPr>
        <w:numPr>
          <w:ilvl w:val="8"/>
          <w:numId w:val="1"/>
        </w:numPr>
        <w:tabs>
          <w:tab w:val="left" w:pos="1876"/>
        </w:tabs>
        <w:spacing w:line="360" w:lineRule="auto"/>
        <w:ind w:left="426"/>
        <w:contextualSpacing/>
        <w:jc w:val="both"/>
        <w:outlineLvl w:val="1"/>
        <w:rPr>
          <w:rFonts w:ascii="Times New Roman" w:eastAsia="Calibri" w:hAnsi="Times New Roman" w:cs="Times New Roman"/>
          <w:b/>
          <w:kern w:val="2"/>
          <w:sz w:val="24"/>
          <w:szCs w:val="24"/>
          <w14:ligatures w14:val="standardContextual"/>
        </w:rPr>
      </w:pPr>
      <w:bookmarkStart w:id="5" w:name="_Toc208346547"/>
      <w:r w:rsidRPr="00EA5B64">
        <w:rPr>
          <w:rFonts w:ascii="Times New Roman" w:eastAsia="Calibri" w:hAnsi="Times New Roman" w:cs="Times New Roman"/>
          <w:b/>
          <w:kern w:val="2"/>
          <w:sz w:val="24"/>
          <w:szCs w:val="24"/>
          <w14:ligatures w14:val="standardContextual"/>
        </w:rPr>
        <w:lastRenderedPageBreak/>
        <w:t>SARAN</w:t>
      </w:r>
      <w:bookmarkEnd w:id="5"/>
    </w:p>
    <w:p w:rsidR="00EA5B64" w:rsidRPr="00EA5B64" w:rsidRDefault="00EA5B64" w:rsidP="00EA5B64">
      <w:pPr>
        <w:tabs>
          <w:tab w:val="left" w:pos="1876"/>
        </w:tabs>
        <w:spacing w:line="360" w:lineRule="auto"/>
        <w:ind w:left="426" w:firstLine="283"/>
        <w:contextualSpacing/>
        <w:jc w:val="both"/>
        <w:outlineLvl w:val="1"/>
        <w:rPr>
          <w:rFonts w:ascii="Times New Roman" w:eastAsia="Calibri" w:hAnsi="Times New Roman" w:cs="Times New Roman"/>
          <w:kern w:val="2"/>
          <w:sz w:val="24"/>
          <w:szCs w:val="24"/>
          <w:lang w:val="id-ID"/>
          <w14:ligatures w14:val="standardContextual"/>
        </w:rPr>
      </w:pPr>
      <w:bookmarkStart w:id="6" w:name="_Toc208346548"/>
      <w:r w:rsidRPr="00EA5B64">
        <w:rPr>
          <w:rFonts w:ascii="Times New Roman" w:eastAsia="Calibri" w:hAnsi="Times New Roman" w:cs="Times New Roman"/>
          <w:kern w:val="2"/>
          <w:sz w:val="24"/>
          <w:szCs w:val="24"/>
          <w:lang w:val="id-ID"/>
          <w14:ligatures w14:val="standardContextual"/>
        </w:rPr>
        <w:t>Hasil penelitian mengenai “Implementasi Permainan Engklek Berbasis Modern dalam Menstimulasi Perkembangan Kognitif Anak Usia 4 Tahun di TK Pertiwi 1 Temurejo”, terdapat beberapa saran sebagai berikut:</w:t>
      </w:r>
      <w:bookmarkEnd w:id="6"/>
    </w:p>
    <w:p w:rsidR="00EA5B64" w:rsidRPr="00EA5B64" w:rsidRDefault="00EA5B64" w:rsidP="00EA5B64">
      <w:pPr>
        <w:numPr>
          <w:ilvl w:val="0"/>
          <w:numId w:val="3"/>
        </w:numPr>
        <w:tabs>
          <w:tab w:val="left" w:pos="1876"/>
        </w:tabs>
        <w:spacing w:line="360" w:lineRule="auto"/>
        <w:contextualSpacing/>
        <w:jc w:val="both"/>
        <w:outlineLvl w:val="1"/>
        <w:rPr>
          <w:rFonts w:ascii="Times New Roman" w:eastAsia="Calibri" w:hAnsi="Times New Roman" w:cs="Times New Roman"/>
          <w:b/>
          <w:kern w:val="2"/>
          <w:sz w:val="24"/>
          <w:szCs w:val="24"/>
          <w14:ligatures w14:val="standardContextual"/>
        </w:rPr>
      </w:pPr>
      <w:bookmarkStart w:id="7" w:name="_Toc208346549"/>
      <w:r w:rsidRPr="00EA5B64">
        <w:rPr>
          <w:rFonts w:ascii="Times New Roman" w:eastAsia="Calibri" w:hAnsi="Times New Roman" w:cs="Times New Roman"/>
          <w:kern w:val="2"/>
          <w:sz w:val="24"/>
          <w:szCs w:val="24"/>
          <w:lang w:val="id-ID"/>
          <w14:ligatures w14:val="standardContextual"/>
        </w:rPr>
        <w:t>Kepala Sekolah TK Pertiwi 1 Temurejo diharapkan dapat mendukung guru dalam proses belajar-mengajar, misalnya dengan menyediakan media pembelajaran yang memadai, memberikan izin penggunaan alat permainan yang kreatif, serta melibatkan guru dalam berbagai kegiatan pelatihan.</w:t>
      </w:r>
      <w:bookmarkEnd w:id="7"/>
    </w:p>
    <w:p w:rsidR="00EA5B64" w:rsidRPr="00EA5B64" w:rsidRDefault="00EA5B64" w:rsidP="00EA5B64">
      <w:pPr>
        <w:numPr>
          <w:ilvl w:val="0"/>
          <w:numId w:val="3"/>
        </w:numPr>
        <w:tabs>
          <w:tab w:val="left" w:pos="1876"/>
        </w:tabs>
        <w:spacing w:line="360" w:lineRule="auto"/>
        <w:contextualSpacing/>
        <w:jc w:val="both"/>
        <w:outlineLvl w:val="1"/>
        <w:rPr>
          <w:rFonts w:ascii="Times New Roman" w:eastAsia="Calibri" w:hAnsi="Times New Roman" w:cs="Times New Roman"/>
          <w:b/>
          <w:kern w:val="2"/>
          <w:sz w:val="24"/>
          <w:szCs w:val="24"/>
          <w14:ligatures w14:val="standardContextual"/>
        </w:rPr>
      </w:pPr>
      <w:bookmarkStart w:id="8" w:name="_Toc208346550"/>
      <w:r w:rsidRPr="00EA5B64">
        <w:rPr>
          <w:rFonts w:ascii="Times New Roman" w:eastAsia="Calibri" w:hAnsi="Times New Roman" w:cs="Times New Roman"/>
          <w:kern w:val="2"/>
          <w:lang w:val="id-ID"/>
          <w14:ligatures w14:val="standardContextual"/>
        </w:rPr>
        <w:t>Guru kelas Kelompok A disarankan untuk meningkatkan kreativitas anak melalui inovasi dalam permainan engklek modern. Aktivitas langsung, kerja sama antar siswa, dan integrasi seni terbukti membantu anak memahami konsep abstrak, seperti kinematika. Selain itu, penggunaan nyanyian atau yel-yel dapat meningkatkan semangat anak saat bermain, dan memberikan penghargaan bagi anak yang berhasil menyelesaikan permainan.</w:t>
      </w:r>
      <w:bookmarkEnd w:id="8"/>
    </w:p>
    <w:p w:rsidR="00EA5B64" w:rsidRPr="00EA5B64" w:rsidRDefault="00EA5B64" w:rsidP="00EA5B64">
      <w:pPr>
        <w:numPr>
          <w:ilvl w:val="0"/>
          <w:numId w:val="3"/>
        </w:numPr>
        <w:tabs>
          <w:tab w:val="left" w:pos="1876"/>
        </w:tabs>
        <w:spacing w:line="360" w:lineRule="auto"/>
        <w:contextualSpacing/>
        <w:jc w:val="both"/>
        <w:outlineLvl w:val="1"/>
        <w:rPr>
          <w:rFonts w:ascii="Times New Roman" w:eastAsia="Calibri" w:hAnsi="Times New Roman" w:cs="Times New Roman"/>
          <w:b/>
          <w:kern w:val="2"/>
          <w:sz w:val="24"/>
          <w:szCs w:val="24"/>
          <w14:ligatures w14:val="standardContextual"/>
        </w:rPr>
      </w:pPr>
      <w:bookmarkStart w:id="9" w:name="_Toc208346551"/>
      <w:r w:rsidRPr="00EA5B64">
        <w:rPr>
          <w:rFonts w:ascii="Times New Roman" w:eastAsia="Calibri" w:hAnsi="Times New Roman" w:cs="Times New Roman"/>
          <w:kern w:val="2"/>
          <w:sz w:val="24"/>
          <w:szCs w:val="24"/>
          <w:lang w:val="id-ID"/>
          <w14:ligatures w14:val="standardContextual"/>
        </w:rPr>
        <w:t>Orang tua sebaiknya mengenalkan kembali permainan engklek modern di rumah agar anak memperoleh rangsangan belajar secara langsung, kolaboratif, dan kreatif. Pendekatan ini juga mendukung pemahaman konsep kinematika yang abstrak, sekaligus memperkuat pengalaman belajar yang menyenangkan.</w:t>
      </w:r>
      <w:bookmarkEnd w:id="9"/>
    </w:p>
    <w:p w:rsidR="00EA5B64" w:rsidRPr="00EA5B64" w:rsidRDefault="00EA5B64" w:rsidP="00EA5B64">
      <w:pPr>
        <w:tabs>
          <w:tab w:val="left" w:pos="1876"/>
        </w:tabs>
        <w:spacing w:line="360" w:lineRule="auto"/>
        <w:jc w:val="both"/>
        <w:rPr>
          <w:rFonts w:ascii="Times New Roman" w:eastAsia="Calibri" w:hAnsi="Times New Roman" w:cs="Times New Roman"/>
          <w:kern w:val="2"/>
          <w:sz w:val="24"/>
          <w:szCs w:val="24"/>
          <w14:ligatures w14:val="standardContextual"/>
        </w:rPr>
      </w:pPr>
    </w:p>
    <w:p w:rsidR="00EA5B64" w:rsidRPr="00EA5B64" w:rsidRDefault="00EA5B64" w:rsidP="00EA5B64">
      <w:pPr>
        <w:tabs>
          <w:tab w:val="left" w:pos="1876"/>
        </w:tabs>
        <w:spacing w:line="360" w:lineRule="auto"/>
        <w:jc w:val="both"/>
        <w:rPr>
          <w:rFonts w:ascii="Times New Roman" w:eastAsia="Calibri" w:hAnsi="Times New Roman" w:cs="Times New Roman"/>
          <w:kern w:val="2"/>
          <w:sz w:val="24"/>
          <w:szCs w:val="24"/>
          <w14:ligatures w14:val="standardContextual"/>
        </w:rPr>
      </w:pPr>
    </w:p>
    <w:p w:rsidR="00EA5B64" w:rsidRPr="00EA5B64" w:rsidRDefault="00EA5B64" w:rsidP="00EA5B64">
      <w:pPr>
        <w:tabs>
          <w:tab w:val="left" w:pos="1876"/>
        </w:tabs>
        <w:spacing w:line="360" w:lineRule="auto"/>
        <w:jc w:val="both"/>
        <w:rPr>
          <w:rFonts w:ascii="Times New Roman" w:eastAsia="Calibri" w:hAnsi="Times New Roman" w:cs="Times New Roman"/>
          <w:kern w:val="2"/>
          <w:sz w:val="24"/>
          <w:szCs w:val="24"/>
          <w14:ligatures w14:val="standardContextual"/>
        </w:rPr>
      </w:pPr>
    </w:p>
    <w:p w:rsidR="00EA5B64" w:rsidRPr="00EA5B64" w:rsidRDefault="00EA5B64" w:rsidP="00EA5B64">
      <w:pPr>
        <w:tabs>
          <w:tab w:val="left" w:pos="1876"/>
        </w:tabs>
        <w:spacing w:line="360" w:lineRule="auto"/>
        <w:jc w:val="both"/>
        <w:rPr>
          <w:rFonts w:ascii="Times New Roman" w:eastAsia="Calibri" w:hAnsi="Times New Roman" w:cs="Times New Roman"/>
          <w:kern w:val="2"/>
          <w:sz w:val="24"/>
          <w:szCs w:val="24"/>
          <w14:ligatures w14:val="standardContextual"/>
        </w:rPr>
      </w:pPr>
    </w:p>
    <w:p w:rsidR="00EA5B64" w:rsidRPr="00EA5B64" w:rsidRDefault="00EA5B64" w:rsidP="00EA5B64">
      <w:pPr>
        <w:tabs>
          <w:tab w:val="left" w:pos="1876"/>
        </w:tabs>
        <w:spacing w:line="360" w:lineRule="auto"/>
        <w:jc w:val="both"/>
        <w:rPr>
          <w:rFonts w:ascii="Times New Roman" w:eastAsia="Calibri" w:hAnsi="Times New Roman" w:cs="Times New Roman"/>
          <w:kern w:val="2"/>
          <w:sz w:val="24"/>
          <w:szCs w:val="24"/>
          <w14:ligatures w14:val="standardContextual"/>
        </w:rPr>
      </w:pPr>
    </w:p>
    <w:p w:rsidR="00EA5B64" w:rsidRPr="00EA5B64" w:rsidRDefault="00EA5B64" w:rsidP="00EA5B64">
      <w:pPr>
        <w:tabs>
          <w:tab w:val="left" w:pos="1876"/>
        </w:tabs>
        <w:spacing w:line="360" w:lineRule="auto"/>
        <w:jc w:val="both"/>
        <w:rPr>
          <w:rFonts w:ascii="Times New Roman" w:eastAsia="Calibri" w:hAnsi="Times New Roman" w:cs="Times New Roman"/>
          <w:kern w:val="2"/>
          <w:sz w:val="24"/>
          <w:szCs w:val="24"/>
          <w14:ligatures w14:val="standardContextual"/>
        </w:rPr>
      </w:pPr>
    </w:p>
    <w:p w:rsidR="00EA5B64" w:rsidRPr="00EA5B64" w:rsidRDefault="00EA5B64" w:rsidP="00EA5B64">
      <w:pPr>
        <w:tabs>
          <w:tab w:val="left" w:pos="1876"/>
        </w:tabs>
        <w:spacing w:line="360" w:lineRule="auto"/>
        <w:jc w:val="both"/>
        <w:rPr>
          <w:rFonts w:ascii="Times New Roman" w:eastAsia="Calibri" w:hAnsi="Times New Roman" w:cs="Times New Roman"/>
          <w:kern w:val="2"/>
          <w:sz w:val="24"/>
          <w:szCs w:val="24"/>
          <w14:ligatures w14:val="standardContextual"/>
        </w:rPr>
      </w:pPr>
    </w:p>
    <w:p w:rsidR="00EA5B64" w:rsidRPr="00EA5B64" w:rsidRDefault="00EA5B64" w:rsidP="00EA5B64">
      <w:pPr>
        <w:tabs>
          <w:tab w:val="left" w:pos="1876"/>
        </w:tabs>
        <w:spacing w:line="360" w:lineRule="auto"/>
        <w:jc w:val="both"/>
        <w:rPr>
          <w:rFonts w:ascii="Times New Roman" w:eastAsia="Calibri" w:hAnsi="Times New Roman" w:cs="Times New Roman"/>
          <w:kern w:val="2"/>
          <w:sz w:val="24"/>
          <w:szCs w:val="24"/>
          <w14:ligatures w14:val="standardContextual"/>
        </w:rPr>
      </w:pPr>
    </w:p>
    <w:p w:rsidR="00EA5B64" w:rsidRPr="00EA5B64" w:rsidRDefault="00EA5B64" w:rsidP="00EA5B64">
      <w:pPr>
        <w:keepNext/>
        <w:keepLines/>
        <w:tabs>
          <w:tab w:val="left" w:pos="1876"/>
        </w:tabs>
        <w:spacing w:before="240" w:after="0"/>
        <w:jc w:val="center"/>
        <w:outlineLvl w:val="0"/>
        <w:rPr>
          <w:rFonts w:ascii="Times New Roman" w:eastAsia="DengXian Light" w:hAnsi="Times New Roman" w:cs="Times New Roman"/>
          <w:b/>
          <w:color w:val="000000"/>
          <w:kern w:val="2"/>
          <w:sz w:val="24"/>
          <w:szCs w:val="24"/>
          <w14:ligatures w14:val="standardContextual"/>
        </w:rPr>
      </w:pPr>
      <w:bookmarkStart w:id="10" w:name="_Toc208346552"/>
      <w:r w:rsidRPr="00EA5B64">
        <w:rPr>
          <w:rFonts w:ascii="Times New Roman" w:eastAsia="DengXian Light" w:hAnsi="Times New Roman" w:cs="Times New Roman"/>
          <w:b/>
          <w:color w:val="000000"/>
          <w:kern w:val="2"/>
          <w:sz w:val="24"/>
          <w:szCs w:val="24"/>
          <w14:ligatures w14:val="standardContextual"/>
        </w:rPr>
        <w:lastRenderedPageBreak/>
        <w:t>DAFTAR PUSTAKA</w:t>
      </w:r>
      <w:bookmarkEnd w:id="10"/>
    </w:p>
    <w:p w:rsidR="00EA5B64" w:rsidRPr="00EA5B64" w:rsidRDefault="00EA5B64" w:rsidP="00EA5B64">
      <w:pPr>
        <w:tabs>
          <w:tab w:val="left" w:pos="1876"/>
          <w:tab w:val="left" w:pos="2085"/>
        </w:tabs>
        <w:jc w:val="both"/>
        <w:rPr>
          <w:rFonts w:ascii="Times New Roman" w:eastAsia="Calibri" w:hAnsi="Times New Roman" w:cs="Times New Roman"/>
          <w:kern w:val="2"/>
          <w:sz w:val="24"/>
          <w:szCs w:val="24"/>
          <w14:ligatures w14:val="standardContextual"/>
        </w:rPr>
      </w:pPr>
    </w:p>
    <w:p w:rsidR="00EA5B64" w:rsidRPr="00EA5B64" w:rsidRDefault="00EA5B64" w:rsidP="00EA5B64">
      <w:pPr>
        <w:tabs>
          <w:tab w:val="left" w:pos="1134"/>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Abdurrahman, M. (2012). "Permainan Tradisional Nusantara." Yogyakarta: Pustaka Pelajar.</w:t>
      </w:r>
    </w:p>
    <w:p w:rsidR="00EA5B64" w:rsidRPr="00EA5B64" w:rsidRDefault="00EA5B64" w:rsidP="00EA5B64">
      <w:pPr>
        <w:tabs>
          <w:tab w:val="left" w:pos="1134"/>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Achroni, Haris. 2016. Sarana Bermain Dan Belajar Bagi Anak-Anak. Jakarta: Universitas Terbuka.</w:t>
      </w:r>
    </w:p>
    <w:p w:rsidR="00EA5B64" w:rsidRPr="00EA5B64" w:rsidRDefault="00EA5B64" w:rsidP="00EA5B64">
      <w:pPr>
        <w:tabs>
          <w:tab w:val="left" w:pos="1134"/>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Achroni, K. 2012. Mengembangkan Tumbuh Kembang Anak Melalui Permainan Tradisional. Jogjakarta: Javalitera</w:t>
      </w:r>
    </w:p>
    <w:p w:rsidR="00EA5B64" w:rsidRPr="00EA5B64" w:rsidRDefault="00EA5B64" w:rsidP="00EA5B64">
      <w:pPr>
        <w:tabs>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Aulina, C. N. (2015). Pengaruh Bermain Peran Terhadap Kemampuan Sosial Anak Usia Dini. Pedagogia: Jurnal Pendidikan, 4(1), 59–69.</w:t>
      </w:r>
    </w:p>
    <w:p w:rsidR="00EA5B64" w:rsidRPr="00EA5B64" w:rsidRDefault="00EA5B64" w:rsidP="00EA5B64">
      <w:pPr>
        <w:tabs>
          <w:tab w:val="left" w:pos="1134"/>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Azizah, I. M. (2016). Efektivitas Pembelajaran Menggunakan Permainan Tradisional Terhadap Motivasi Dan Hasil belajar. Dinamika Penelitian, Vo.16 (2): 280-308.</w:t>
      </w:r>
    </w:p>
    <w:p w:rsidR="00EA5B64" w:rsidRPr="00EA5B64" w:rsidRDefault="00EA5B64" w:rsidP="00EA5B64">
      <w:pPr>
        <w:tabs>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B.R. Hergenhahn &amp; Matthew H. Olson, (2010). Theories of Learning (Teori Belajar), alih bahasa: Tri Wibowo B.S., Cet. III, Jakarta: Prenada Media Group, hal. 325</w:t>
      </w:r>
    </w:p>
    <w:p w:rsidR="00EA5B64" w:rsidRPr="00EA5B64" w:rsidRDefault="00EA5B64" w:rsidP="00EA5B64">
      <w:pPr>
        <w:tabs>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Black, P., &amp; Wiliam, D. (1998). Assessment and classroom learning. Assessment in Education: Principles, Policy &amp; Practice, 5(1), 7-74.</w:t>
      </w:r>
    </w:p>
    <w:p w:rsidR="00EA5B64" w:rsidRPr="00EA5B64" w:rsidRDefault="00EA5B64" w:rsidP="00EA5B64">
      <w:pPr>
        <w:tabs>
          <w:tab w:val="left" w:pos="1876"/>
        </w:tabs>
        <w:spacing w:after="0" w:line="360" w:lineRule="auto"/>
        <w:ind w:left="1134" w:hanging="1092"/>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Blair, C., &amp; Raver, C. C. (2015). School readiness and self-regulation: A developmental psychobiological approach. Annual Review of Psychology, 66, 711-731.</w:t>
      </w:r>
    </w:p>
    <w:p w:rsidR="00EA5B64" w:rsidRPr="00EA5B64" w:rsidRDefault="00EA5B64" w:rsidP="00EA5B64">
      <w:pPr>
        <w:tabs>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Bowen, G. A. (2009). Document Analysis as a Qualitative Research Method. Qualitative Research Journal, 9(2), 27-40.</w:t>
      </w:r>
    </w:p>
    <w:p w:rsidR="00EA5B64" w:rsidRPr="00EA5B64" w:rsidRDefault="00EA5B64" w:rsidP="00EA5B64">
      <w:pPr>
        <w:tabs>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Braun, V., &amp; Clarke, V. (2006). “Using Thematic Analysis in Psychology.” Qualitative Research in Psychology.</w:t>
      </w:r>
    </w:p>
    <w:p w:rsidR="00EA5B64" w:rsidRPr="00EA5B64" w:rsidRDefault="00EA5B64" w:rsidP="00EA5B64">
      <w:pPr>
        <w:tabs>
          <w:tab w:val="left" w:pos="1876"/>
        </w:tabs>
        <w:spacing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Bruner, J. S. (1966). Toward a Theory of Instruction. Cambridge, MA: Harvard University Press</w:t>
      </w:r>
    </w:p>
    <w:p w:rsidR="00EA5B64" w:rsidRPr="00EA5B64" w:rsidRDefault="00EA5B64" w:rsidP="00EA5B64">
      <w:pPr>
        <w:tabs>
          <w:tab w:val="left" w:pos="1134"/>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Bruner, J. S. (1973). Beyond the Information Given: Studies in the Psychology of Knowing. W. W. Norton &amp; Company.</w:t>
      </w:r>
    </w:p>
    <w:p w:rsidR="00EA5B64" w:rsidRPr="00EA5B64" w:rsidRDefault="00EA5B64" w:rsidP="00EA5B64">
      <w:pPr>
        <w:tabs>
          <w:tab w:val="left" w:pos="1134"/>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lastRenderedPageBreak/>
        <w:t>Chasanah, C. (2015). Pengembangan Permainan Tradisional Gotri Untuk Pembelajaran Fisik Motorik Kasar Anak. Jurnal Pg-Paud Trunojoyo. Jurnal Pendidikan Dan Pembelajaran Anak usia Dini, 2(2), 87</w:t>
      </w:r>
      <w:r w:rsidRPr="00EA5B64">
        <w:rPr>
          <w:rFonts w:ascii="Times New Roman" w:eastAsia="Calibri" w:hAnsi="Times New Roman" w:cs="Times New Roman"/>
          <w:kern w:val="2"/>
          <w:sz w:val="24"/>
          <w:szCs w:val="24"/>
          <w14:ligatures w14:val="standardContextual"/>
        </w:rPr>
        <w:tab/>
      </w:r>
    </w:p>
    <w:p w:rsidR="00EA5B64" w:rsidRPr="00EA5B64" w:rsidRDefault="00EA5B64" w:rsidP="00EA5B64">
      <w:pPr>
        <w:tabs>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Creswell, J. W. (2013). Qualitative Inquiry and Research Design: Choosing Among Five Approaches. SAGE Publications.</w:t>
      </w:r>
    </w:p>
    <w:p w:rsidR="00EA5B64" w:rsidRPr="00EA5B64" w:rsidRDefault="00EA5B64" w:rsidP="00EA5B64">
      <w:pPr>
        <w:tabs>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Creswell, J. W. (2014). Research Design: Qualitative, Quantitative, and Mixed Methods Approaches. Sage Publications.</w:t>
      </w:r>
    </w:p>
    <w:p w:rsidR="00EA5B64" w:rsidRPr="00EA5B64" w:rsidRDefault="00EA5B64" w:rsidP="00EA5B64">
      <w:pPr>
        <w:tabs>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 xml:space="preserve">Denzin, N. K. (1978). The Research Act: A Theoretical Introduction to Sociological Methods. </w:t>
      </w:r>
    </w:p>
    <w:p w:rsidR="00EA5B64" w:rsidRPr="00EA5B64" w:rsidRDefault="00EA5B64" w:rsidP="00EA5B64">
      <w:pPr>
        <w:tabs>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Denzin, N. K., &amp; Lincoln, Y. S. (2011). The Sage Handbook of Qualitative Research.</w:t>
      </w:r>
    </w:p>
    <w:p w:rsidR="00EA5B64" w:rsidRPr="00EA5B64" w:rsidRDefault="00EA5B64" w:rsidP="00EA5B64">
      <w:pPr>
        <w:tabs>
          <w:tab w:val="left" w:pos="1876"/>
          <w:tab w:val="left" w:pos="2085"/>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Depdiknas 2007 (dalam Kurniawati, 2014)</w:t>
      </w:r>
    </w:p>
    <w:p w:rsidR="00EA5B64" w:rsidRPr="00EA5B64" w:rsidRDefault="00EA5B64" w:rsidP="00EA5B64">
      <w:pPr>
        <w:tabs>
          <w:tab w:val="left" w:pos="1876"/>
          <w:tab w:val="left" w:pos="2085"/>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Dharmamulya, Sukirman, dkk. (2008). Permainan Tradisional Jawa. Yogyakarta: Kepel Press.</w:t>
      </w:r>
    </w:p>
    <w:p w:rsidR="00EA5B64" w:rsidRPr="00EA5B64" w:rsidRDefault="00EA5B64" w:rsidP="00EA5B64">
      <w:pPr>
        <w:tabs>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Elsa Eka Yustanti, (2004) ‘Implementasi Permainan Tradisional Engklek Dalam Mengembangkan Kemampuan Berhitung Pada Kelompok A Di TK DHARMA WANITA Burno 02 Senduro Lumajang’, Repository.Radenintan.Ac.Id,http://repository.radenintan.ac.id/id/eprint/32899.</w:t>
      </w:r>
    </w:p>
    <w:p w:rsidR="00EA5B64" w:rsidRPr="00EA5B64" w:rsidRDefault="00EA5B64" w:rsidP="00EA5B64">
      <w:pPr>
        <w:tabs>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Erikson, E. H. (1963). Childhood and Society. New York: Norton.</w:t>
      </w:r>
    </w:p>
    <w:p w:rsidR="00EA5B64" w:rsidRPr="00EA5B64" w:rsidRDefault="00EA5B64" w:rsidP="00EA5B64">
      <w:pPr>
        <w:tabs>
          <w:tab w:val="left" w:pos="1876"/>
          <w:tab w:val="left" w:pos="2085"/>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Fatmawati, N., Sofia, A., Drupadi, R., Nawangsasi, D., Irzalinda, V., &amp; Sugiana, S. (2019). Pelatihan Menyusun Perangkat Pembelajaran Kurikulum 2013 Bagi Guru Pendidikan Anak Usia Dini (Paud). Prosiding Seminar Nasional Pendidikan Forkom Pgpaud 2019, 8–14.</w:t>
      </w:r>
    </w:p>
    <w:p w:rsidR="00EA5B64" w:rsidRPr="00EA5B64" w:rsidRDefault="00EA5B64" w:rsidP="00EA5B64">
      <w:pPr>
        <w:tabs>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Finlay, L. (2002). “Negotiating the Swamp: The Opportunity and Challenge of Reflexivity in Research Practice”. Qualitative Research, 2(2), 209-230</w:t>
      </w:r>
    </w:p>
    <w:p w:rsidR="00EA5B64" w:rsidRPr="00EA5B64" w:rsidRDefault="00EA5B64" w:rsidP="00EA5B64">
      <w:pPr>
        <w:tabs>
          <w:tab w:val="left" w:pos="1876"/>
          <w:tab w:val="left" w:pos="2085"/>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Fitria, Y., &amp; Juwita, J. (2018). Utilization Of Video Blogs (Vlogs) In Character Learning In Early Childhood. Jurnal Obsesi: Jurnal Pendidikan Anak Usia Dini, 2(2), 211–218.</w:t>
      </w:r>
    </w:p>
    <w:p w:rsidR="00EA5B64" w:rsidRPr="00EA5B64" w:rsidRDefault="00EA5B64" w:rsidP="00EA5B64">
      <w:pPr>
        <w:tabs>
          <w:tab w:val="left" w:pos="1876"/>
          <w:tab w:val="left" w:pos="2085"/>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lastRenderedPageBreak/>
        <w:t>Gardner, H. (1983). Frames of Mind: The Theory of Multiple Intelligences. Basic Books.</w:t>
      </w:r>
    </w:p>
    <w:p w:rsidR="00EA5B64" w:rsidRPr="00EA5B64" w:rsidRDefault="00EA5B64" w:rsidP="00EA5B64">
      <w:pPr>
        <w:tabs>
          <w:tab w:val="left" w:pos="1876"/>
          <w:tab w:val="left" w:pos="2085"/>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Garris, Rosemary, Robert Ahlers, and James E. Driskell.</w:t>
      </w:r>
      <w:r w:rsidRPr="00EA5B64">
        <w:rPr>
          <w:rFonts w:ascii="Times New Roman" w:eastAsia="Calibri" w:hAnsi="Times New Roman" w:cs="Times New Roman"/>
          <w:kern w:val="2"/>
          <w:lang w:val="id-ID"/>
          <w14:ligatures w14:val="standardContextual"/>
        </w:rPr>
        <w:t xml:space="preserve"> </w:t>
      </w:r>
      <w:r w:rsidRPr="00EA5B64">
        <w:rPr>
          <w:rFonts w:ascii="Times New Roman" w:eastAsia="Calibri" w:hAnsi="Times New Roman" w:cs="Times New Roman"/>
          <w:kern w:val="2"/>
          <w:sz w:val="24"/>
          <w:szCs w:val="24"/>
          <w14:ligatures w14:val="standardContextual"/>
        </w:rPr>
        <w:t>(2002)  “Games, motivation, and learning: A research and practice model.” Simulation &amp; gaming 33.4: 441-467.</w:t>
      </w:r>
    </w:p>
    <w:p w:rsidR="00EA5B64" w:rsidRPr="00EA5B64" w:rsidRDefault="00EA5B64" w:rsidP="00EA5B64">
      <w:pPr>
        <w:tabs>
          <w:tab w:val="left" w:pos="1876"/>
          <w:tab w:val="left" w:pos="2085"/>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Gee, James Paul. (2003) “What video games have to teach us about learning and literacy.” Computers in entertainment (CIE) 1.1: 20-20.</w:t>
      </w:r>
    </w:p>
    <w:p w:rsidR="00EA5B64" w:rsidRPr="00EA5B64" w:rsidRDefault="00EA5B64" w:rsidP="00EA5B64">
      <w:pPr>
        <w:tabs>
          <w:tab w:val="left" w:pos="1876"/>
          <w:tab w:val="left" w:pos="2085"/>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Gian, P. 2015. Pengaruh Permainan Tradisional Bakiak dan Engklek terhdap Keterampilan Sosial Anak Usia Dini. Jurnal Pendidikan Anak Usia Dini. (online) diakeses 20-06-2015, di http://jurnal.student.uny.ac.id/ujs/index.php/fiptp/articel.</w:t>
      </w:r>
    </w:p>
    <w:p w:rsidR="00EA5B64" w:rsidRPr="00EA5B64" w:rsidRDefault="00EA5B64" w:rsidP="00EA5B64">
      <w:pPr>
        <w:tabs>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Gibbs, G. R. (2007). Analyzing Qualitative Data.</w:t>
      </w:r>
    </w:p>
    <w:p w:rsidR="00EA5B64" w:rsidRPr="00EA5B64" w:rsidRDefault="00EA5B64" w:rsidP="00EA5B64">
      <w:pPr>
        <w:tabs>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Glaser, B. G., &amp; Strauss, A. L. (1967). The Discovery of Grounded Theory.</w:t>
      </w:r>
    </w:p>
    <w:p w:rsidR="00EA5B64" w:rsidRPr="00EA5B64" w:rsidRDefault="00EA5B64" w:rsidP="00EA5B64">
      <w:pPr>
        <w:tabs>
          <w:tab w:val="left" w:pos="1876"/>
          <w:tab w:val="left" w:pos="2085"/>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Hadiwijono, A. (2016). Pendidikan Pancasila, Eksistensinya Bagi Mahasiswa. Jurnal Cakrawala Hukum, 7(1), 82–97.</w:t>
      </w:r>
    </w:p>
    <w:p w:rsidR="00EA5B64" w:rsidRPr="00EA5B64" w:rsidRDefault="00EA5B64" w:rsidP="00EA5B64">
      <w:pPr>
        <w:tabs>
          <w:tab w:val="left" w:pos="1876"/>
          <w:tab w:val="left" w:pos="2085"/>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Helmi, R. D., &amp; Zaman. S. 2009. 12 Permainan untuk Meningkatkan Inteligensi Anak. Jakarta: Visi Media</w:t>
      </w:r>
    </w:p>
    <w:p w:rsidR="00EA5B64" w:rsidRPr="00EA5B64" w:rsidRDefault="00EA5B64" w:rsidP="00EA5B64">
      <w:pPr>
        <w:tabs>
          <w:tab w:val="left" w:pos="1876"/>
          <w:tab w:val="left" w:pos="2085"/>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Huizinga, Eelco. (1955) “The physiological and clinical importance of experimental work on the pigeon’s labyrinth.” The Journal of Laryngology &amp; Otology 69.4: 260-268.</w:t>
      </w:r>
    </w:p>
    <w:p w:rsidR="00EA5B64" w:rsidRPr="00EA5B64" w:rsidRDefault="00EA5B64" w:rsidP="00EA5B64">
      <w:pPr>
        <w:tabs>
          <w:tab w:val="left" w:pos="1876"/>
          <w:tab w:val="left" w:pos="2085"/>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 xml:space="preserve"> I Yulianty, R. 2011. Permainan yang Meningkatkan kecerdasan anak Modern &amp; tradisional. Jakarta: Laskar Aksara</w:t>
      </w:r>
    </w:p>
    <w:p w:rsidR="00EA5B64" w:rsidRPr="00EA5B64" w:rsidRDefault="00EA5B64" w:rsidP="00EA5B64">
      <w:pPr>
        <w:tabs>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 xml:space="preserve"> Izzuddin, A. (2021). Upaya Mengembangkan Kemampuan Kognitif Anak Usia Dini Melalui Media Pembelajaran Sains. Oktober, 3(3), 542–557.</w:t>
      </w:r>
    </w:p>
    <w:p w:rsidR="00EA5B64" w:rsidRPr="00EA5B64" w:rsidRDefault="00EA5B64" w:rsidP="00EA5B64">
      <w:pPr>
        <w:tabs>
          <w:tab w:val="left" w:pos="1876"/>
          <w:tab w:val="left" w:pos="2085"/>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 xml:space="preserve"> Ja’far, A. (2014). Ta: Penciptaan Buku Ilustrasi Permainan Tradisional Sebagai Upaya Melestarikan Warisan Budaya Lokal. Institut Bisnis Dan Informatika Stikom Surabaya.</w:t>
      </w:r>
    </w:p>
    <w:p w:rsidR="00EA5B64" w:rsidRPr="00EA5B64" w:rsidRDefault="00EA5B64" w:rsidP="00EA5B64">
      <w:pPr>
        <w:tabs>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 xml:space="preserve"> Kawulich, B. B. (2005). Participant Observation as a Data Collection Method. Forum Qualitative Sozialforschung / Forum: Qualitative Social Research, 6(2).</w:t>
      </w:r>
    </w:p>
    <w:p w:rsidR="00EA5B64" w:rsidRPr="00EA5B64" w:rsidRDefault="00EA5B64" w:rsidP="00EA5B64">
      <w:pPr>
        <w:tabs>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lastRenderedPageBreak/>
        <w:t>Khadijah. (2016). Pengembangan Kognitif Anak     Usia     Dini     Teori     dan Pengembangannya.</w:t>
      </w:r>
    </w:p>
    <w:p w:rsidR="00EA5B64" w:rsidRPr="00EA5B64" w:rsidRDefault="00EA5B64" w:rsidP="00EA5B64">
      <w:pPr>
        <w:tabs>
          <w:tab w:val="left" w:pos="1876"/>
          <w:tab w:val="left" w:pos="2085"/>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Kretchmar, R.S., 1994, Practical Philosophy of Sports. Champaign: Human Kinetics</w:t>
      </w:r>
    </w:p>
    <w:p w:rsidR="00EA5B64" w:rsidRPr="00EA5B64" w:rsidRDefault="00EA5B64" w:rsidP="00EA5B64">
      <w:pPr>
        <w:tabs>
          <w:tab w:val="left" w:pos="1876"/>
          <w:tab w:val="left" w:pos="2085"/>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Kurniati, E. 2016. Permainan Tradisional dan Perannya dalam Mengembangkan Keterampilan Sosial Anak. Jakarta: Prenadamedia Group.</w:t>
      </w:r>
    </w:p>
    <w:p w:rsidR="00EA5B64" w:rsidRPr="00EA5B64" w:rsidRDefault="00EA5B64" w:rsidP="00EA5B64">
      <w:pPr>
        <w:tabs>
          <w:tab w:val="left" w:pos="1134"/>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Kurniati. 2016. Macam- Macam Permainan Tradisional. Jakarta: PT. Indeks</w:t>
      </w:r>
    </w:p>
    <w:p w:rsidR="00EA5B64" w:rsidRPr="00EA5B64" w:rsidRDefault="00EA5B64" w:rsidP="00EA5B64">
      <w:pPr>
        <w:tabs>
          <w:tab w:val="left" w:pos="1134"/>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Kvale, S., &amp; Brinkmann, S. (2009). InterViews: Learning the Craft of Qualitative Research Interviewing. Sage.</w:t>
      </w:r>
    </w:p>
    <w:p w:rsidR="00EA5B64" w:rsidRPr="00EA5B64" w:rsidRDefault="00EA5B64" w:rsidP="00EA5B64">
      <w:pPr>
        <w:tabs>
          <w:tab w:val="left" w:pos="1134"/>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Laura A. King. Psikologi Umum Sebuah Pandangan Apresiatif, (Terj Deresi Opi Perdana Yanti), Cet. 1, Jakarta: Selemba Humanika, hal. 152</w:t>
      </w:r>
    </w:p>
    <w:p w:rsidR="00EA5B64" w:rsidRPr="00EA5B64" w:rsidRDefault="00EA5B64" w:rsidP="00EA5B64">
      <w:pPr>
        <w:tabs>
          <w:tab w:val="left" w:pos="1134"/>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Lincoln, Y. S., &amp; Guba, E. G. (1985). Naturalistic Inquiry. Beverly Hills, CA: Sage.</w:t>
      </w:r>
    </w:p>
    <w:p w:rsidR="00EA5B64" w:rsidRPr="00EA5B64" w:rsidRDefault="00EA5B64" w:rsidP="00EA5B64">
      <w:pPr>
        <w:tabs>
          <w:tab w:val="left" w:pos="1134"/>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Loward S. Friedman &amp; Miriam W. Schuctack, (2006) Kepribadian Teori Klasik dan Riset Modern, Jakarta: Erlangga, Cet I, hal. 259</w:t>
      </w:r>
    </w:p>
    <w:p w:rsidR="00EA5B64" w:rsidRPr="00EA5B64" w:rsidRDefault="00EA5B64" w:rsidP="00EA5B64">
      <w:pPr>
        <w:tabs>
          <w:tab w:val="left" w:pos="1134"/>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Martini and Masganti Sitorus, (2023) ‘Perkembangan Kognitif Pada Anak Usia Dini’, Al-Abyadh, 6.1 pp. 41–50, doi:10.46781/al-abyadh.v6i1.746.</w:t>
      </w:r>
    </w:p>
    <w:p w:rsidR="00EA5B64" w:rsidRPr="00EA5B64" w:rsidRDefault="00EA5B64" w:rsidP="00EA5B64">
      <w:pPr>
        <w:tabs>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Merriam, S. B., &amp; Tisdell, E. J. (2016). Qualitative Research: A Guide to Design and Implementation. Jossey-Bass.</w:t>
      </w:r>
    </w:p>
    <w:p w:rsidR="00EA5B64" w:rsidRPr="00EA5B64" w:rsidRDefault="00EA5B64" w:rsidP="00EA5B64">
      <w:pPr>
        <w:tabs>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Miles, M. B., Huberman, A. M., &amp; Saldaña, J. (2014). Qualitative Data Analysis: A Methods Sourcebook.</w:t>
      </w:r>
    </w:p>
    <w:p w:rsidR="00EA5B64" w:rsidRPr="00EA5B64" w:rsidRDefault="00EA5B64" w:rsidP="00EA5B64">
      <w:pPr>
        <w:tabs>
          <w:tab w:val="left" w:pos="1876"/>
        </w:tabs>
        <w:spacing w:line="360" w:lineRule="auto"/>
        <w:ind w:left="2085" w:hanging="2085"/>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Montessori, M. (1912). The Montessori Method. Frederick A. Stokes Company.</w:t>
      </w:r>
    </w:p>
    <w:p w:rsidR="00EA5B64" w:rsidRPr="00EA5B64" w:rsidRDefault="00EA5B64" w:rsidP="00EA5B64">
      <w:pPr>
        <w:tabs>
          <w:tab w:val="left" w:pos="1876"/>
        </w:tabs>
        <w:spacing w:after="0" w:line="360" w:lineRule="auto"/>
        <w:ind w:left="1276" w:hanging="1418"/>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 xml:space="preserve">  Montolalu, dkk (2007). Bermain dan Permainan Anak. Jakarta: Universitas Terbuka</w:t>
      </w:r>
    </w:p>
    <w:p w:rsidR="00EA5B64" w:rsidRPr="00EA5B64" w:rsidRDefault="00EA5B64" w:rsidP="00EA5B64">
      <w:pPr>
        <w:tabs>
          <w:tab w:val="left" w:pos="1134"/>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Muliawan. 2009. Tips jitu memilih mainan Positif &amp; kreatif untuk anak-anak. Jogjakarta: Divapress</w:t>
      </w:r>
    </w:p>
    <w:p w:rsidR="00EA5B64" w:rsidRPr="00EA5B64" w:rsidRDefault="00EA5B64" w:rsidP="00EA5B64">
      <w:pPr>
        <w:tabs>
          <w:tab w:val="left" w:pos="1134"/>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Mulyasa. (2012). Manajemen PAUD. PT Remaja Rosdakarya. Bandung. 266 hlm.</w:t>
      </w:r>
    </w:p>
    <w:p w:rsidR="00EA5B64" w:rsidRPr="00EA5B64" w:rsidRDefault="00EA5B64" w:rsidP="00EA5B64">
      <w:pPr>
        <w:tabs>
          <w:tab w:val="left" w:pos="1134"/>
          <w:tab w:val="left" w:pos="1876"/>
        </w:tabs>
        <w:spacing w:after="0" w:line="360" w:lineRule="auto"/>
        <w:ind w:left="1134" w:hanging="1276"/>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 xml:space="preserve">  Patton, M. Q. (2015). Qualitative Research &amp; Evaluation Methods. SAGE Publications.</w:t>
      </w:r>
    </w:p>
    <w:p w:rsidR="00EA5B64" w:rsidRPr="00EA5B64" w:rsidRDefault="00EA5B64" w:rsidP="00EA5B64">
      <w:pPr>
        <w:tabs>
          <w:tab w:val="left" w:pos="1134"/>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Pertiwi, D. A., Fitroh, S. F., &amp; Mayangsari, D. (2018).</w:t>
      </w:r>
    </w:p>
    <w:p w:rsidR="00EA5B64" w:rsidRPr="00EA5B64" w:rsidRDefault="00EA5B64" w:rsidP="00EA5B64">
      <w:pPr>
        <w:tabs>
          <w:tab w:val="left" w:pos="1134"/>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lastRenderedPageBreak/>
        <w:t>Phillips, D., et al. (2000). Early childhood education: Do we practice what we preach? Early Childhood Research Quarterly, 15(4), 475-496.</w:t>
      </w:r>
    </w:p>
    <w:p w:rsidR="00EA5B64" w:rsidRPr="00EA5B64" w:rsidRDefault="00EA5B64" w:rsidP="00EA5B64">
      <w:pPr>
        <w:tabs>
          <w:tab w:val="left" w:pos="1134"/>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Piaget, J. (1952). The Origins of Intelligence in Children. International Universities Press.</w:t>
      </w:r>
    </w:p>
    <w:p w:rsidR="00EA5B64" w:rsidRPr="00EA5B64" w:rsidRDefault="00EA5B64" w:rsidP="00EA5B64">
      <w:pPr>
        <w:tabs>
          <w:tab w:val="left" w:pos="1134"/>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Pianta, R. C., &amp; Hamre, B. K. (2009). Conceptualization, measurement, and improvement of classroom processes: Standardized observation can leverage capacity. Educational Researcher, 38(2), 109-119.</w:t>
      </w:r>
    </w:p>
    <w:p w:rsidR="00EA5B64" w:rsidRPr="00EA5B64" w:rsidRDefault="00EA5B64" w:rsidP="00EA5B64">
      <w:pPr>
        <w:tabs>
          <w:tab w:val="left" w:pos="1134"/>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Prasetyo, D., D. 2007. Membedah Psikologi Bermain Anak. Jogjakarta: Think</w:t>
      </w:r>
    </w:p>
    <w:p w:rsidR="00EA5B64" w:rsidRPr="00EA5B64" w:rsidRDefault="00EA5B64" w:rsidP="00EA5B64">
      <w:pPr>
        <w:tabs>
          <w:tab w:val="left" w:pos="1134"/>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Prensky, Marc. (2001) “The games generations: How learners have changed.” Digital game-based learning 1.1:1-26.</w:t>
      </w:r>
    </w:p>
    <w:p w:rsidR="00EA5B64" w:rsidRPr="00EA5B64" w:rsidRDefault="00EA5B64" w:rsidP="00EA5B64">
      <w:pPr>
        <w:tabs>
          <w:tab w:val="left" w:pos="1134"/>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Rahman, H. A. (2022). Tri Pusat Pendidikan Perspektif Tasawuf. Kaaffah Learning Center.</w:t>
      </w:r>
    </w:p>
    <w:p w:rsidR="00EA5B64" w:rsidRPr="00EA5B64" w:rsidRDefault="00EA5B64" w:rsidP="00EA5B64">
      <w:pPr>
        <w:tabs>
          <w:tab w:val="left" w:pos="1134"/>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Rosala, D. (2016). Pembelajaran Seni Budaya Berbasis Kearifan Lokal Dalam Upaya Membangun Pendidikan Karakter Siswa Di Sekolah Dasar. Ritme, 2(1), 16–25</w:t>
      </w:r>
    </w:p>
    <w:p w:rsidR="00EA5B64" w:rsidRPr="00EA5B64" w:rsidRDefault="00EA5B64" w:rsidP="00EA5B64">
      <w:pPr>
        <w:tabs>
          <w:tab w:val="left" w:pos="1134"/>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Schweinhart, L. J., et al. (2005). Lifetime effects: The High/Scope Perry Preschool study through age 40. High/Scope Press.</w:t>
      </w:r>
    </w:p>
    <w:p w:rsidR="00EA5B64" w:rsidRPr="00EA5B64" w:rsidRDefault="00EA5B64" w:rsidP="00EA5B64">
      <w:pPr>
        <w:tabs>
          <w:tab w:val="left" w:pos="1134"/>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Spradley, J. P. (1980). Participant Observation. Holt, Rinehart, and Winston.</w:t>
      </w:r>
    </w:p>
    <w:p w:rsidR="00EA5B64" w:rsidRPr="00EA5B64" w:rsidRDefault="00EA5B64" w:rsidP="00EA5B64">
      <w:pPr>
        <w:tabs>
          <w:tab w:val="left" w:pos="1134"/>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Stern, D. N. (1998). The Interpersonal World of the Infant: A View from Psychoanalysis and Developmental Psychology. Basic Books.</w:t>
      </w:r>
    </w:p>
    <w:p w:rsidR="00EA5B64" w:rsidRPr="00EA5B64" w:rsidRDefault="00EA5B64" w:rsidP="00EA5B64">
      <w:pPr>
        <w:tabs>
          <w:tab w:val="left" w:pos="1134"/>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Strauss, A., &amp; Corbin, J. (1998). Basics of Qualitative Research.</w:t>
      </w:r>
    </w:p>
    <w:p w:rsidR="00EA5B64" w:rsidRPr="00EA5B64" w:rsidRDefault="00EA5B64" w:rsidP="00EA5B64">
      <w:pPr>
        <w:tabs>
          <w:tab w:val="left" w:pos="1134"/>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Sugiyono. (2017). Metode Penelitian Kuantitatif, Kualitatif, Dan R&amp;D. Bandung: Alfabeta.</w:t>
      </w:r>
      <w:r w:rsidRPr="00EA5B64">
        <w:rPr>
          <w:rFonts w:ascii="Times New Roman" w:eastAsia="Calibri" w:hAnsi="Times New Roman" w:cs="Times New Roman"/>
          <w:kern w:val="2"/>
          <w:lang w:val="id-ID"/>
          <w14:ligatures w14:val="standardContextual"/>
        </w:rPr>
        <w:t xml:space="preserve"> </w:t>
      </w:r>
      <w:r w:rsidRPr="00EA5B64">
        <w:rPr>
          <w:rFonts w:ascii="Times New Roman" w:eastAsia="Calibri" w:hAnsi="Times New Roman" w:cs="Times New Roman"/>
          <w:kern w:val="2"/>
          <w:sz w:val="24"/>
          <w:szCs w:val="24"/>
          <w14:ligatures w14:val="standardContextual"/>
        </w:rPr>
        <w:t>‘Creswell, J. W. (2014). Research Design: Qualitative, Quantitative, and Mixed Methods Approaches. Sage Publications.’</w:t>
      </w:r>
    </w:p>
    <w:p w:rsidR="00EA5B64" w:rsidRPr="00EA5B64" w:rsidRDefault="00EA5B64" w:rsidP="00EA5B64">
      <w:pPr>
        <w:tabs>
          <w:tab w:val="left" w:pos="1134"/>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Sujiono, Y., N. 2009. Konsep Dasar Pendidikan Anak Usia Dini. Jakarta: Indeks</w:t>
      </w:r>
    </w:p>
    <w:p w:rsidR="00EA5B64" w:rsidRPr="00EA5B64" w:rsidRDefault="00EA5B64" w:rsidP="00EA5B64">
      <w:pPr>
        <w:tabs>
          <w:tab w:val="left" w:pos="1134"/>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Sukintaka. 1998. Teori Bermain untuk Pendidikan Jasmani. Yogyakarta: FPOK IKIP</w:t>
      </w:r>
    </w:p>
    <w:p w:rsidR="00EA5B64" w:rsidRPr="00EA5B64" w:rsidRDefault="00EA5B64" w:rsidP="00EA5B64">
      <w:pPr>
        <w:tabs>
          <w:tab w:val="left" w:pos="1134"/>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Sundari, S.,    &amp;    Fauziati, E.    (2021). Implikasi Teori Belajar Bruner dalam Model Pembelajaran Kurikulum 2013. Jurnal Papeda: Jurnal Publikasi Pendidikan Dasar, 3(2), 128–136.</w:t>
      </w:r>
    </w:p>
    <w:p w:rsidR="00EA5B64" w:rsidRPr="00EA5B64" w:rsidRDefault="00EA5B64" w:rsidP="00EA5B64">
      <w:pPr>
        <w:tabs>
          <w:tab w:val="left" w:pos="1134"/>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Sutton-Smith, Brian. The ambiguity of play. Harvard University Press, 2001.</w:t>
      </w:r>
    </w:p>
    <w:p w:rsidR="00EA5B64" w:rsidRPr="00EA5B64" w:rsidRDefault="00EA5B64" w:rsidP="00EA5B64">
      <w:pPr>
        <w:tabs>
          <w:tab w:val="left" w:pos="1134"/>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lastRenderedPageBreak/>
        <w:t>Tekinbas, Katie Salen, and Eric Zimmerman. (2003). Rules of play: Game design fundamentals. MIT press.</w:t>
      </w:r>
    </w:p>
    <w:p w:rsidR="00EA5B64" w:rsidRPr="00EA5B64" w:rsidRDefault="00EA5B64" w:rsidP="00EA5B64">
      <w:pPr>
        <w:tabs>
          <w:tab w:val="left" w:pos="1134"/>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Terman dan Merril 2019</w:t>
      </w:r>
    </w:p>
    <w:p w:rsidR="00EA5B64" w:rsidRPr="00EA5B64" w:rsidRDefault="00EA5B64" w:rsidP="00EA5B64">
      <w:pPr>
        <w:tabs>
          <w:tab w:val="left" w:pos="1134"/>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Tien, Y. C. (2015). Manajemen Peningkatan Mutu Lulusan. Manajer Pendidikan: Jurnal Ilmiah Manajemen Pendidikan Program Pascasarjana, 9(4).</w:t>
      </w:r>
    </w:p>
    <w:p w:rsidR="00EA5B64" w:rsidRPr="00EA5B64" w:rsidRDefault="00EA5B64" w:rsidP="00EA5B64">
      <w:pPr>
        <w:tabs>
          <w:tab w:val="left" w:pos="1134"/>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Triharso, A. 2013. Permainan Kreatif dan Edukatif untuk Anak Usia Dini 30 Permainan Matematika dan Sains. Yogyakarta: Andi Offest.</w:t>
      </w:r>
    </w:p>
    <w:p w:rsidR="00EA5B64" w:rsidRPr="00EA5B64" w:rsidRDefault="00EA5B64" w:rsidP="00EA5B64">
      <w:pPr>
        <w:tabs>
          <w:tab w:val="left" w:pos="1134"/>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Vygotsky, L. S. (1978). Mind in Society: The Development of Higher Psychological Processes. Cambridge, MA: Harvard University Press.</w:t>
      </w:r>
    </w:p>
    <w:p w:rsidR="00EA5B64" w:rsidRPr="00EA5B64" w:rsidRDefault="00EA5B64" w:rsidP="00EA5B64">
      <w:pPr>
        <w:tabs>
          <w:tab w:val="left" w:pos="1134"/>
          <w:tab w:val="left" w:pos="1876"/>
          <w:tab w:val="left" w:pos="2410"/>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Wolcott, H. F. (1994). Transforming Qualitative Data: Description, Analysis, and Interpretation.</w:t>
      </w:r>
    </w:p>
    <w:p w:rsidR="00EA5B64" w:rsidRPr="00EA5B64" w:rsidRDefault="00EA5B64" w:rsidP="00EA5B64">
      <w:pPr>
        <w:tabs>
          <w:tab w:val="left" w:pos="1134"/>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Yafie, E., &amp; Sutama, I. W. (2019). Pengembangan Kognitif (Sains Pada Anak Usia Dini). Universitas Negeri Malang.</w:t>
      </w:r>
    </w:p>
    <w:p w:rsidR="00EA5B64" w:rsidRPr="00EA5B64" w:rsidRDefault="00EA5B64" w:rsidP="00EA5B64">
      <w:pPr>
        <w:tabs>
          <w:tab w:val="left" w:pos="1134"/>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Yamin, H. Martinis dan Sanan, Sabri Jamilah. (2010). Panduan Pendidikan Anak Usia Dini. Jakarta: GP Press</w:t>
      </w:r>
    </w:p>
    <w:p w:rsidR="00EA5B64" w:rsidRPr="00EA5B64" w:rsidRDefault="00EA5B64" w:rsidP="00EA5B64">
      <w:pPr>
        <w:tabs>
          <w:tab w:val="left" w:pos="1134"/>
          <w:tab w:val="left" w:pos="1876"/>
        </w:tabs>
        <w:spacing w:after="0" w:line="360" w:lineRule="auto"/>
        <w:ind w:left="1134" w:hanging="1134"/>
        <w:jc w:val="both"/>
        <w:rPr>
          <w:rFonts w:ascii="Times New Roman" w:eastAsia="Calibri" w:hAnsi="Times New Roman" w:cs="Times New Roman"/>
          <w:kern w:val="2"/>
          <w:sz w:val="24"/>
          <w:szCs w:val="24"/>
          <w14:ligatures w14:val="standardContextual"/>
        </w:rPr>
      </w:pPr>
      <w:r w:rsidRPr="00EA5B64">
        <w:rPr>
          <w:rFonts w:ascii="Times New Roman" w:eastAsia="Calibri" w:hAnsi="Times New Roman" w:cs="Times New Roman"/>
          <w:kern w:val="2"/>
          <w:sz w:val="24"/>
          <w:szCs w:val="24"/>
          <w14:ligatures w14:val="standardContextual"/>
        </w:rPr>
        <w:t xml:space="preserve"> Yin, R. K. (2018). Case Study Research and Applications: Design and Methods. Sage Publications.</w:t>
      </w:r>
    </w:p>
    <w:p w:rsidR="00EA5B64" w:rsidRPr="00EA5B64" w:rsidRDefault="00EA5B64" w:rsidP="00EA5B64">
      <w:pPr>
        <w:tabs>
          <w:tab w:val="left" w:pos="1876"/>
        </w:tabs>
        <w:rPr>
          <w:rFonts w:ascii="Times New Roman" w:eastAsia="Calibri" w:hAnsi="Times New Roman" w:cs="Times New Roman"/>
          <w:kern w:val="2"/>
          <w:sz w:val="24"/>
          <w:szCs w:val="24"/>
          <w14:ligatures w14:val="standardContextual"/>
        </w:rPr>
      </w:pPr>
    </w:p>
    <w:p w:rsidR="00EA5B64" w:rsidRPr="00EA5B64" w:rsidRDefault="00EA5B64" w:rsidP="00EA5B64">
      <w:pPr>
        <w:tabs>
          <w:tab w:val="left" w:pos="1876"/>
        </w:tabs>
        <w:ind w:firstLine="720"/>
        <w:rPr>
          <w:rFonts w:ascii="Times New Roman" w:eastAsia="Calibri" w:hAnsi="Times New Roman" w:cs="Times New Roman"/>
          <w:kern w:val="2"/>
          <w:sz w:val="24"/>
          <w:szCs w:val="24"/>
          <w14:ligatures w14:val="standardContextual"/>
        </w:rPr>
      </w:pPr>
    </w:p>
    <w:p w:rsidR="00EA5B64" w:rsidRPr="00EA5B64" w:rsidRDefault="00EA5B64" w:rsidP="00EA5B64">
      <w:pPr>
        <w:tabs>
          <w:tab w:val="left" w:pos="869"/>
          <w:tab w:val="left" w:pos="1876"/>
        </w:tabs>
        <w:rPr>
          <w:rFonts w:ascii="Times New Roman" w:eastAsia="Calibri" w:hAnsi="Times New Roman" w:cs="Times New Roman"/>
          <w:kern w:val="2"/>
          <w:sz w:val="24"/>
          <w:szCs w:val="24"/>
          <w:lang w:val="id-ID"/>
          <w14:ligatures w14:val="standardContextual"/>
        </w:rPr>
      </w:pPr>
      <w:r w:rsidRPr="00EA5B64">
        <w:rPr>
          <w:rFonts w:ascii="Times New Roman" w:eastAsia="Calibri" w:hAnsi="Times New Roman" w:cs="Times New Roman"/>
          <w:kern w:val="2"/>
          <w:sz w:val="24"/>
          <w:szCs w:val="24"/>
          <w14:ligatures w14:val="standardContextual"/>
        </w:rPr>
        <w:tab/>
      </w:r>
    </w:p>
    <w:p w:rsidR="00EA5B64" w:rsidRPr="00EA5B64" w:rsidRDefault="00EA5B64" w:rsidP="00EA5B64">
      <w:pPr>
        <w:tabs>
          <w:tab w:val="left" w:pos="869"/>
          <w:tab w:val="left" w:pos="1876"/>
        </w:tabs>
        <w:jc w:val="center"/>
        <w:rPr>
          <w:rFonts w:ascii="Times New Roman" w:eastAsia="Calibri" w:hAnsi="Times New Roman" w:cs="Times New Roman"/>
          <w:kern w:val="2"/>
          <w:sz w:val="24"/>
          <w:szCs w:val="24"/>
          <w:lang w:val="id-ID"/>
          <w14:ligatures w14:val="standardContextual"/>
        </w:rPr>
      </w:pPr>
    </w:p>
    <w:p w:rsidR="00B8080F" w:rsidRPr="00EA5B64" w:rsidRDefault="00B8080F">
      <w:pPr>
        <w:rPr>
          <w:rFonts w:ascii="Times New Roman" w:hAnsi="Times New Roman" w:cs="Times New Roman"/>
          <w:sz w:val="24"/>
          <w:szCs w:val="24"/>
        </w:rPr>
      </w:pPr>
      <w:bookmarkStart w:id="11" w:name="_GoBack"/>
      <w:bookmarkEnd w:id="11"/>
    </w:p>
    <w:sectPr w:rsidR="00B8080F" w:rsidRPr="00EA5B64">
      <w:pgSz w:w="11906" w:h="16838"/>
      <w:pgMar w:top="2268" w:right="1841" w:bottom="1843"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Segoe Prin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01872"/>
    <w:multiLevelType w:val="multilevel"/>
    <w:tmpl w:val="FD2664AA"/>
    <w:lvl w:ilvl="0">
      <w:start w:val="1"/>
      <w:numFmt w:val="decimal"/>
      <w:lvlText w:val="%1."/>
      <w:lvlJc w:val="left"/>
      <w:pPr>
        <w:ind w:left="1069" w:hanging="360"/>
      </w:pPr>
      <w:rPr>
        <w:rFonts w:asciiTheme="minorHAnsi" w:eastAsiaTheme="minorHAnsi" w:hAnsiTheme="minorHAnsi" w:cstheme="minorBidi"/>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E932660"/>
    <w:multiLevelType w:val="multilevel"/>
    <w:tmpl w:val="1E9326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C7D1010"/>
    <w:multiLevelType w:val="multilevel"/>
    <w:tmpl w:val="3A74D454"/>
    <w:lvl w:ilvl="0">
      <w:start w:val="1"/>
      <w:numFmt w:val="decimal"/>
      <w:lvlText w:val="%1)"/>
      <w:lvlJc w:val="left"/>
      <w:pPr>
        <w:ind w:left="720" w:hanging="360"/>
      </w:pPr>
      <w:rPr>
        <w:rFonts w:hint="default"/>
      </w:rPr>
    </w:lvl>
    <w:lvl w:ilvl="1">
      <w:start w:val="1"/>
      <w:numFmt w:val="lowerLetter"/>
      <w:lvlText w:val="(%2)"/>
      <w:lvlJc w:val="left"/>
      <w:pPr>
        <w:ind w:left="1353" w:hanging="360"/>
      </w:pPr>
      <w:rPr>
        <w:rFonts w:asciiTheme="majorBidi" w:eastAsiaTheme="minorHAnsi" w:hAnsiTheme="majorBidi" w:cstheme="majorBidi"/>
        <w:b w:val="0"/>
      </w:rPr>
    </w:lvl>
    <w:lvl w:ilvl="2">
      <w:start w:val="1"/>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Letter"/>
      <w:lvlText w:val="(%6)"/>
      <w:lvlJc w:val="left"/>
      <w:pPr>
        <w:ind w:left="4500" w:hanging="360"/>
      </w:pPr>
      <w:rPr>
        <w:rFonts w:hint="default"/>
        <w:b/>
      </w:rPr>
    </w:lvl>
    <w:lvl w:ilvl="6">
      <w:start w:val="2"/>
      <w:numFmt w:val="upperLetter"/>
      <w:lvlText w:val="(%7)"/>
      <w:lvlJc w:val="left"/>
      <w:pPr>
        <w:ind w:left="5040" w:hanging="360"/>
      </w:pPr>
      <w:rPr>
        <w:rFonts w:hint="default"/>
      </w:rPr>
    </w:lvl>
    <w:lvl w:ilvl="7">
      <w:start w:val="2"/>
      <w:numFmt w:val="decimal"/>
      <w:lvlText w:val="(%8)"/>
      <w:lvlJc w:val="left"/>
      <w:pPr>
        <w:ind w:left="5760" w:hanging="360"/>
      </w:pPr>
      <w:rPr>
        <w:rFonts w:hint="default"/>
      </w:rPr>
    </w:lvl>
    <w:lvl w:ilvl="8">
      <w:start w:val="1"/>
      <w:numFmt w:val="upperLetter"/>
      <w:lvlText w:val="%9."/>
      <w:lvlJc w:val="left"/>
      <w:pPr>
        <w:ind w:left="666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B64"/>
    <w:rsid w:val="00B8080F"/>
    <w:rsid w:val="00EA5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5A9C3B-30B3-478D-B126-1610EE67D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1790</Words>
  <Characters>10203</Characters>
  <Application>Microsoft Office Word</Application>
  <DocSecurity>0</DocSecurity>
  <Lines>85</Lines>
  <Paragraphs>23</Paragraphs>
  <ScaleCrop>false</ScaleCrop>
  <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2025-10-14T11:22:00Z</dcterms:created>
  <dcterms:modified xsi:type="dcterms:W3CDTF">2025-10-14T11:24:00Z</dcterms:modified>
</cp:coreProperties>
</file>